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INFORMACJA O ZBĘDNYCH I ZUŻYTYCH SKŁADNIKACH RZECZOWYCH MAJĄTKU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Dyrektor Przedszkola Samorządowego nr 16 w Kielcach, wypełniając Zarządzenie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nr 277/2018 Prezydenta Miasta Kielce w sprawie szczegółowego sposobu i trybu gospodarowania składnikami rzeczowymi majątku ruchomego informuje, że posiada zużyty składnik rzeczowy majątku ruchomego w Przedszkolu Samorządowym nr 16 w Kielcach.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 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Zgłoszenie zużytych składników majątkowych do zagospodarowania obowiązuje przez okres 2  tygodni od daty zamieszczenia.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 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Szczegółowe informacje na temat składników można uzyskać pod numerem telefonu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41 3676056.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 </w:t>
      </w:r>
    </w:p>
    <w:p w:rsidR="00932836" w:rsidRPr="00932836" w:rsidRDefault="00932836" w:rsidP="00932836">
      <w:pPr>
        <w:pStyle w:val="gwp408e96fbmsonormal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 w:line="360" w:lineRule="auto"/>
        <w:rPr>
          <w:color w:val="2C2F45"/>
          <w:sz w:val="36"/>
          <w:szCs w:val="36"/>
        </w:rPr>
      </w:pPr>
      <w:r w:rsidRPr="00932836">
        <w:rPr>
          <w:color w:val="2C2F45"/>
          <w:sz w:val="36"/>
          <w:szCs w:val="36"/>
        </w:rPr>
        <w:t>Wykaz składników i opis ich stanu zawiera załącznik do niniejszej informacji.</w:t>
      </w:r>
    </w:p>
    <w:p w:rsidR="004252A0" w:rsidRDefault="004252A0"/>
    <w:sectPr w:rsidR="004252A0" w:rsidSect="0042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932836"/>
    <w:rsid w:val="004252A0"/>
    <w:rsid w:val="0093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408e96fbmsonormal">
    <w:name w:val="gwp408e96fb_msonormal"/>
    <w:basedOn w:val="Normalny"/>
    <w:rsid w:val="0093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monia</cp:lastModifiedBy>
  <cp:revision>1</cp:revision>
  <dcterms:created xsi:type="dcterms:W3CDTF">2025-02-17T03:37:00Z</dcterms:created>
  <dcterms:modified xsi:type="dcterms:W3CDTF">2025-02-17T03:38:00Z</dcterms:modified>
</cp:coreProperties>
</file>